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61" w:rsidRDefault="00B50118" w:rsidP="00875941">
      <w:pPr>
        <w:pStyle w:val="Standard"/>
        <w:jc w:val="center"/>
        <w:rPr>
          <w:b/>
          <w:bCs/>
          <w:sz w:val="36"/>
          <w:szCs w:val="36"/>
        </w:rPr>
      </w:pPr>
      <w:r>
        <w:rPr>
          <w:b/>
          <w:bCs/>
          <w:sz w:val="36"/>
          <w:szCs w:val="36"/>
        </w:rPr>
        <w:t>NÁVOD K POUŽITÍ FREESTYLE KOLOBĚŽKY</w:t>
      </w:r>
    </w:p>
    <w:p w:rsidR="00E44761" w:rsidRDefault="00E44761" w:rsidP="00875941">
      <w:pPr>
        <w:pStyle w:val="Standard"/>
        <w:jc w:val="center"/>
        <w:rPr>
          <w:sz w:val="22"/>
          <w:szCs w:val="22"/>
        </w:rPr>
      </w:pPr>
    </w:p>
    <w:p w:rsidR="00E44761" w:rsidRDefault="00B50118" w:rsidP="00875941">
      <w:pPr>
        <w:pStyle w:val="Standard"/>
        <w:jc w:val="center"/>
      </w:pPr>
      <w:r>
        <w:rPr>
          <w:b/>
          <w:bCs/>
          <w:sz w:val="22"/>
          <w:szCs w:val="22"/>
        </w:rPr>
        <w:t>UPOZORNĚNÍ</w:t>
      </w:r>
      <w:r>
        <w:rPr>
          <w:sz w:val="22"/>
          <w:szCs w:val="22"/>
        </w:rPr>
        <w:t>! Před montáží si důkladně přečtěte instrukce. Instrukce uchovejte pro budoucí potřebu.</w:t>
      </w:r>
    </w:p>
    <w:p w:rsidR="00E44761" w:rsidRDefault="00E44761" w:rsidP="00875941">
      <w:pPr>
        <w:pStyle w:val="Standard"/>
        <w:jc w:val="both"/>
        <w:rPr>
          <w:sz w:val="22"/>
          <w:szCs w:val="22"/>
        </w:rPr>
      </w:pPr>
    </w:p>
    <w:p w:rsidR="00E44761" w:rsidRDefault="00B50118" w:rsidP="00875941">
      <w:pPr>
        <w:pStyle w:val="Standard"/>
        <w:jc w:val="both"/>
        <w:rPr>
          <w:b/>
          <w:bCs/>
          <w:sz w:val="22"/>
          <w:szCs w:val="22"/>
        </w:rPr>
      </w:pPr>
      <w:r>
        <w:rPr>
          <w:b/>
          <w:bCs/>
          <w:sz w:val="22"/>
          <w:szCs w:val="22"/>
        </w:rPr>
        <w:t>BEZPEČNOSTNÍ UPOZORNĚNÍ</w:t>
      </w:r>
    </w:p>
    <w:p w:rsidR="00E44761" w:rsidRDefault="00B50118" w:rsidP="00875941">
      <w:pPr>
        <w:pStyle w:val="Standard"/>
        <w:jc w:val="both"/>
        <w:rPr>
          <w:sz w:val="22"/>
          <w:szCs w:val="22"/>
        </w:rPr>
      </w:pPr>
      <w:r>
        <w:rPr>
          <w:sz w:val="22"/>
          <w:szCs w:val="22"/>
        </w:rPr>
        <w:t xml:space="preserve">Montáž smí být provedena pouze dospělou osobou.Výrobek není vhodný pro děti do 6 let. Děti do </w:t>
      </w:r>
      <w:proofErr w:type="gramStart"/>
      <w:r>
        <w:rPr>
          <w:sz w:val="22"/>
          <w:szCs w:val="22"/>
        </w:rPr>
        <w:t>10</w:t>
      </w:r>
      <w:proofErr w:type="gramEnd"/>
      <w:r w:rsidR="00875941">
        <w:rPr>
          <w:sz w:val="22"/>
          <w:szCs w:val="22"/>
        </w:rPr>
        <w:t>-</w:t>
      </w:r>
      <w:proofErr w:type="gramStart"/>
      <w:r>
        <w:rPr>
          <w:sz w:val="22"/>
          <w:szCs w:val="22"/>
        </w:rPr>
        <w:t>ti</w:t>
      </w:r>
      <w:proofErr w:type="gramEnd"/>
      <w:r>
        <w:rPr>
          <w:sz w:val="22"/>
          <w:szCs w:val="22"/>
        </w:rPr>
        <w:t xml:space="preserve"> let smí koloběžku používat pouze pod dozorem dospělé osoby.</w:t>
      </w:r>
    </w:p>
    <w:p w:rsidR="00875941" w:rsidRDefault="00875941" w:rsidP="00875941">
      <w:pPr>
        <w:pStyle w:val="Standard"/>
        <w:jc w:val="both"/>
        <w:rPr>
          <w:sz w:val="22"/>
          <w:szCs w:val="22"/>
        </w:rPr>
      </w:pPr>
      <w:r>
        <w:rPr>
          <w:sz w:val="22"/>
          <w:szCs w:val="22"/>
        </w:rPr>
        <w:t>Před zahájením jízdy vždy zkontrolujte správný technický stav koloběžky. Šrouby musí být dobře dotažené.</w:t>
      </w:r>
    </w:p>
    <w:p w:rsidR="00875941" w:rsidRDefault="00875941" w:rsidP="00875941">
      <w:pPr>
        <w:pStyle w:val="Standard"/>
        <w:jc w:val="both"/>
        <w:rPr>
          <w:sz w:val="22"/>
          <w:szCs w:val="22"/>
        </w:rPr>
      </w:pPr>
      <w:r>
        <w:rPr>
          <w:sz w:val="22"/>
          <w:szCs w:val="22"/>
        </w:rPr>
        <w:t xml:space="preserve">Opotřebované nebo poškozené díly neprodleně vyměňte. Používejte pouze originální náhradní díly. Neprovádějte na koloběžce žádné změny, může to ohrozit Vaši bezpečnost. </w:t>
      </w:r>
    </w:p>
    <w:p w:rsidR="00875941" w:rsidRDefault="00875941" w:rsidP="00875941">
      <w:pPr>
        <w:pStyle w:val="Standard"/>
        <w:jc w:val="both"/>
        <w:rPr>
          <w:sz w:val="22"/>
          <w:szCs w:val="22"/>
        </w:rPr>
      </w:pPr>
      <w:r>
        <w:rPr>
          <w:sz w:val="22"/>
          <w:szCs w:val="22"/>
        </w:rPr>
        <w:t xml:space="preserve">Před zahájením jízdy zkontrolujte mechanismus řízení koloběžky. Před každou jízdou dotáhněte šrouby na objímce a ujistěte se, že tyč řízení je ve správné poloze. Zkontrolujte, zda systém řízení je správně seřízený, zdali jsou všechny spojovací díly dobře zajištěny a nejsou prasklé. Za účelem zabrzdění stiskněte chodidlem v obuvi zadní blatník. Snažte se nebrzdit dlouho. Pozor, blatník se při brzdění zahřívá – nepopalte se! </w:t>
      </w:r>
    </w:p>
    <w:p w:rsidR="000B3AC9" w:rsidRDefault="00875941" w:rsidP="00875941">
      <w:pPr>
        <w:pStyle w:val="Standard"/>
        <w:jc w:val="both"/>
        <w:rPr>
          <w:sz w:val="22"/>
          <w:szCs w:val="22"/>
        </w:rPr>
      </w:pPr>
      <w:r>
        <w:rPr>
          <w:sz w:val="22"/>
          <w:szCs w:val="22"/>
        </w:rPr>
        <w:t xml:space="preserve">Dlouhé brzdění zahřívá také kolečko a snižuje jeho životnost. </w:t>
      </w:r>
      <w:r w:rsidR="000B3AC9" w:rsidRPr="000B3AC9">
        <w:rPr>
          <w:sz w:val="22"/>
          <w:szCs w:val="22"/>
        </w:rPr>
        <w:t xml:space="preserve">Brzděte plynule, </w:t>
      </w:r>
      <w:proofErr w:type="spellStart"/>
      <w:r w:rsidR="000B3AC9" w:rsidRPr="000B3AC9">
        <w:rPr>
          <w:sz w:val="22"/>
          <w:szCs w:val="22"/>
        </w:rPr>
        <w:t>neprobržďujte</w:t>
      </w:r>
      <w:proofErr w:type="spellEnd"/>
      <w:r w:rsidR="000B3AC9" w:rsidRPr="000B3AC9">
        <w:rPr>
          <w:sz w:val="22"/>
          <w:szCs w:val="22"/>
        </w:rPr>
        <w:t xml:space="preserve"> kolo, probroděním vznikají plošky na kole a dojde k velmi rychlé amortizaci. Koloběžka není určena k driftování.</w:t>
      </w:r>
    </w:p>
    <w:p w:rsidR="00875941" w:rsidRDefault="00875941" w:rsidP="00875941">
      <w:pPr>
        <w:pStyle w:val="Standard"/>
        <w:jc w:val="both"/>
        <w:rPr>
          <w:sz w:val="22"/>
          <w:szCs w:val="22"/>
        </w:rPr>
      </w:pPr>
      <w:r>
        <w:rPr>
          <w:sz w:val="22"/>
          <w:szCs w:val="22"/>
        </w:rPr>
        <w:t xml:space="preserve">Pravidelně kontrolujte stav ložisek. Ložiska musí být vždy namazaná. Používejte speciální mazivu určené k mazání ložisek. Voda může mazivo nebo olej z ložisek vypláchnout. Nenamazané ložisko se může zahřívat, tavit a při jízdě hučet. V takovém případě je nutná jeho výměna. Kola podléhají běžnému opotřebení a je nutné je občas vyměnit. Opotřebení kol závisí na intenzitě a způsobu jízdy. Pamatujte, že na sportovní koloběžce se kola opotřebovávají mnohem rychleji než u městské. Nepřekračujte rychlost 10 km/hod. </w:t>
      </w:r>
    </w:p>
    <w:p w:rsidR="00E44761" w:rsidRDefault="00B50118" w:rsidP="00875941">
      <w:pPr>
        <w:pStyle w:val="Standard"/>
        <w:jc w:val="both"/>
        <w:rPr>
          <w:sz w:val="22"/>
          <w:szCs w:val="22"/>
        </w:rPr>
      </w:pPr>
      <w:r>
        <w:rPr>
          <w:sz w:val="22"/>
          <w:szCs w:val="22"/>
        </w:rPr>
        <w:t>Koloběžka se užívá na suchém, hladkém a rovném povrchu, který není pokryt pískem ani štěrkem. Pozor na nerovnosti, které můžou způsobit zablokování kola. Koloběžka není vhodná do nerovného terénu, na jízdu po dlažebních kostkách, či výmolech.  Může dojít k zaseknutí kolečka do spáry či výmolu, zohnutí až zalomení přední vidlice s nebezpečím úrazu. Výrobek nelze po</w:t>
      </w:r>
      <w:r w:rsidR="00875941">
        <w:rPr>
          <w:sz w:val="22"/>
          <w:szCs w:val="22"/>
        </w:rPr>
        <w:t>užívat v agresivním prostředí (</w:t>
      </w:r>
      <w:r>
        <w:rPr>
          <w:sz w:val="22"/>
          <w:szCs w:val="22"/>
        </w:rPr>
        <w:t>např.průjezd slanou vodou).  Nepoužívejte v silničním provozu.</w:t>
      </w:r>
    </w:p>
    <w:p w:rsidR="00E44761" w:rsidRDefault="00B50118" w:rsidP="00875941">
      <w:pPr>
        <w:pStyle w:val="Standard"/>
        <w:jc w:val="both"/>
        <w:rPr>
          <w:sz w:val="22"/>
          <w:szCs w:val="22"/>
        </w:rPr>
      </w:pPr>
      <w:r>
        <w:rPr>
          <w:sz w:val="22"/>
          <w:szCs w:val="22"/>
        </w:rPr>
        <w:t>Používat pouze v odpovídajících podmínkách počasí, které negativně neovlivňují bezpečnou viditelnost. Koloběžka není vhodná pro jízdu v noci.</w:t>
      </w:r>
    </w:p>
    <w:p w:rsidR="00E44761" w:rsidRDefault="00B50118" w:rsidP="00875941">
      <w:pPr>
        <w:widowControl/>
        <w:tabs>
          <w:tab w:val="left" w:pos="720"/>
        </w:tabs>
        <w:spacing w:line="220" w:lineRule="auto"/>
        <w:ind w:right="320"/>
        <w:jc w:val="both"/>
        <w:textAlignment w:val="auto"/>
      </w:pPr>
      <w:r>
        <w:rPr>
          <w:sz w:val="22"/>
          <w:szCs w:val="22"/>
        </w:rPr>
        <w:t xml:space="preserve">Jízda na koloběžce vyžaduje velkou zručnost, a proto se musí používat opatrně, aby se předešlo pádům nebo nárazům způsobujícím zranění uživatele nebo třetích osob. Ujistěte se, že Vaše dítě jízdu zvládá. </w:t>
      </w:r>
      <w:r>
        <w:rPr>
          <w:rFonts w:cs="Times New Roman"/>
          <w:sz w:val="22"/>
          <w:szCs w:val="22"/>
        </w:rPr>
        <w:t>Do závazků rodičů náleží naučit dítě, jak správně a bezpečně s koloběžkou zacházet, jak udržet rovnováhu, zatáčet a brzdit. Na základové desce je nutno stát čelem vpřed.</w:t>
      </w:r>
    </w:p>
    <w:p w:rsidR="00E44761" w:rsidRDefault="00B50118" w:rsidP="00875941">
      <w:pPr>
        <w:pStyle w:val="Standard"/>
        <w:jc w:val="both"/>
        <w:rPr>
          <w:sz w:val="22"/>
          <w:szCs w:val="22"/>
        </w:rPr>
      </w:pPr>
      <w:r>
        <w:rPr>
          <w:sz w:val="22"/>
          <w:szCs w:val="22"/>
        </w:rPr>
        <w:t>Při jízdě vybavte dítě přilbou a chrániči. Nejezděte bez bot, vždy mějte vhodnou, pevnou obuv.</w:t>
      </w:r>
    </w:p>
    <w:p w:rsidR="00E44761" w:rsidRDefault="00B50118" w:rsidP="00875941">
      <w:pPr>
        <w:pStyle w:val="Standard"/>
        <w:jc w:val="both"/>
        <w:rPr>
          <w:sz w:val="22"/>
          <w:szCs w:val="22"/>
        </w:rPr>
      </w:pPr>
      <w:r>
        <w:rPr>
          <w:sz w:val="22"/>
          <w:szCs w:val="22"/>
        </w:rPr>
        <w:t>Maximální nosnost koloběžky: 100kg</w:t>
      </w:r>
    </w:p>
    <w:p w:rsidR="00E44761" w:rsidRDefault="00B50118" w:rsidP="00875941">
      <w:pPr>
        <w:pStyle w:val="Standard"/>
        <w:jc w:val="both"/>
        <w:rPr>
          <w:sz w:val="22"/>
          <w:szCs w:val="22"/>
        </w:rPr>
      </w:pPr>
      <w:r>
        <w:rPr>
          <w:sz w:val="22"/>
          <w:szCs w:val="22"/>
        </w:rPr>
        <w:t>Nezatěžujte koloběžku nad maximální nosnost, může dojít k poškození výrobku či ke zranění. Na koloběžce smí vždy jet pouze jedna osoba.</w:t>
      </w:r>
    </w:p>
    <w:p w:rsidR="00E44761" w:rsidRPr="00875941" w:rsidRDefault="00B50118" w:rsidP="00875941">
      <w:pPr>
        <w:pStyle w:val="Standard"/>
        <w:jc w:val="both"/>
        <w:rPr>
          <w:b/>
          <w:sz w:val="22"/>
          <w:szCs w:val="22"/>
        </w:rPr>
      </w:pPr>
      <w:r w:rsidRPr="00875941">
        <w:rPr>
          <w:b/>
          <w:sz w:val="22"/>
          <w:szCs w:val="22"/>
        </w:rPr>
        <w:t>POZOR! Obal není určen ke hře. Krabice a všechny součásti balení je nutné odstranit z dosahu dětí.</w:t>
      </w:r>
    </w:p>
    <w:p w:rsidR="00E44761" w:rsidRPr="00875941" w:rsidRDefault="006F188D" w:rsidP="00875941">
      <w:pPr>
        <w:pStyle w:val="Standard"/>
        <w:jc w:val="both"/>
        <w:rPr>
          <w:b/>
          <w:sz w:val="22"/>
          <w:szCs w:val="22"/>
        </w:rPr>
      </w:pPr>
      <w:r w:rsidRPr="00875941">
        <w:rPr>
          <w:b/>
          <w:sz w:val="22"/>
          <w:szCs w:val="22"/>
        </w:rPr>
        <w:t>Není určeno pro komerční užití.</w:t>
      </w:r>
    </w:p>
    <w:p w:rsidR="00FD5C10" w:rsidRDefault="00FD5C10" w:rsidP="00875941">
      <w:pPr>
        <w:pStyle w:val="Standard"/>
        <w:jc w:val="both"/>
        <w:rPr>
          <w:b/>
          <w:bCs/>
          <w:sz w:val="22"/>
          <w:szCs w:val="22"/>
        </w:rPr>
      </w:pPr>
    </w:p>
    <w:p w:rsidR="00E44761" w:rsidRDefault="00B50118" w:rsidP="00875941">
      <w:pPr>
        <w:pStyle w:val="Standard"/>
        <w:jc w:val="both"/>
      </w:pPr>
      <w:r>
        <w:rPr>
          <w:b/>
          <w:bCs/>
          <w:sz w:val="22"/>
          <w:szCs w:val="22"/>
        </w:rPr>
        <w:t>ÚDRŽBA</w:t>
      </w:r>
    </w:p>
    <w:p w:rsidR="00E44761" w:rsidRDefault="00B50118" w:rsidP="00875941">
      <w:pPr>
        <w:pStyle w:val="Standard"/>
        <w:jc w:val="both"/>
        <w:rPr>
          <w:sz w:val="22"/>
          <w:szCs w:val="22"/>
        </w:rPr>
      </w:pPr>
      <w:r>
        <w:rPr>
          <w:sz w:val="22"/>
          <w:szCs w:val="22"/>
        </w:rPr>
        <w:t>Čistěte pomocí měkkého a suchého hadříku.Nepoužívejte rozpouštědla a bělidla, přípravky na bázi čpavku a alkoholu.Pravidelně kontrolujte znečištění a opotřebení koloběžky.Poškozené či zničené části bez prodlení vyměňte.Uchovávejte mimo dosah vysoké teploty</w:t>
      </w:r>
      <w:r w:rsidR="00A54518">
        <w:rPr>
          <w:sz w:val="22"/>
          <w:szCs w:val="22"/>
        </w:rPr>
        <w:t>,</w:t>
      </w:r>
      <w:r>
        <w:rPr>
          <w:sz w:val="22"/>
          <w:szCs w:val="22"/>
        </w:rPr>
        <w:t xml:space="preserve"> ohně a vlhkosti.</w:t>
      </w:r>
      <w:r w:rsidR="00A54518">
        <w:rPr>
          <w:sz w:val="22"/>
          <w:szCs w:val="22"/>
        </w:rPr>
        <w:t xml:space="preserve"> Při ukončení jízdy mokrou koloběžku osušte a nechte vyschnout.</w:t>
      </w:r>
    </w:p>
    <w:p w:rsidR="00FD5C10" w:rsidRPr="000B3AC9" w:rsidRDefault="00FD5C10" w:rsidP="00875941">
      <w:pPr>
        <w:pStyle w:val="Standard"/>
        <w:jc w:val="both"/>
        <w:rPr>
          <w:sz w:val="22"/>
          <w:szCs w:val="22"/>
        </w:rPr>
      </w:pPr>
      <w:r w:rsidRPr="000B3AC9">
        <w:rPr>
          <w:sz w:val="22"/>
          <w:szCs w:val="22"/>
        </w:rPr>
        <w:t xml:space="preserve">Pravidelně kontrolujte dotažení šroubů na kolech a </w:t>
      </w:r>
      <w:proofErr w:type="gramStart"/>
      <w:r w:rsidRPr="000B3AC9">
        <w:rPr>
          <w:sz w:val="22"/>
          <w:szCs w:val="22"/>
        </w:rPr>
        <w:t>objímce.</w:t>
      </w:r>
      <w:r w:rsidR="000B3AC9" w:rsidRPr="000B3AC9">
        <w:rPr>
          <w:sz w:val="22"/>
          <w:szCs w:val="22"/>
        </w:rPr>
        <w:t>Povolené</w:t>
      </w:r>
      <w:proofErr w:type="gramEnd"/>
      <w:r w:rsidR="000B3AC9" w:rsidRPr="000B3AC9">
        <w:rPr>
          <w:sz w:val="22"/>
          <w:szCs w:val="22"/>
        </w:rPr>
        <w:t xml:space="preserve"> šrouby je vhodné podlepit lepidlem do závitů ( vyjma šroubů v objímce ) </w:t>
      </w:r>
    </w:p>
    <w:p w:rsidR="00FD5C10" w:rsidRPr="006C3AF5" w:rsidRDefault="00FD5C10" w:rsidP="00875941">
      <w:pPr>
        <w:pStyle w:val="Standard"/>
        <w:jc w:val="both"/>
        <w:rPr>
          <w:sz w:val="22"/>
          <w:szCs w:val="22"/>
        </w:rPr>
      </w:pPr>
      <w:r w:rsidRPr="006C3AF5">
        <w:rPr>
          <w:sz w:val="22"/>
          <w:szCs w:val="22"/>
        </w:rPr>
        <w:t>Pokud se jedná o koloběžku s IHC systémem, pravidelně kontrolujte přiměřené dotažení IHC šroubu. Ve vidlici musí být mírná vůle, tak ať lze volně otáčet řídítky. Přetažení IHC centrálního šroubu můž</w:t>
      </w:r>
      <w:r w:rsidR="00A54518">
        <w:rPr>
          <w:sz w:val="22"/>
          <w:szCs w:val="22"/>
        </w:rPr>
        <w:t>e nezvratně poškodit IHC systém</w:t>
      </w:r>
      <w:r w:rsidRPr="006C3AF5">
        <w:rPr>
          <w:sz w:val="22"/>
          <w:szCs w:val="22"/>
        </w:rPr>
        <w:t>! Př</w:t>
      </w:r>
      <w:r w:rsidR="000B1246">
        <w:rPr>
          <w:sz w:val="22"/>
          <w:szCs w:val="22"/>
        </w:rPr>
        <w:t>i velké vůli je volný IHC šroub</w:t>
      </w:r>
      <w:r w:rsidRPr="006C3AF5">
        <w:rPr>
          <w:sz w:val="22"/>
          <w:szCs w:val="22"/>
        </w:rPr>
        <w:t xml:space="preserve"> a je potřebné jej přiměřeně dotáhnout.</w:t>
      </w:r>
    </w:p>
    <w:p w:rsidR="00FD5C10" w:rsidRPr="006C3AF5" w:rsidRDefault="00FD5C10" w:rsidP="00875941">
      <w:pPr>
        <w:pStyle w:val="Standard"/>
        <w:jc w:val="both"/>
        <w:rPr>
          <w:sz w:val="22"/>
          <w:szCs w:val="22"/>
        </w:rPr>
      </w:pPr>
      <w:r w:rsidRPr="006C3AF5">
        <w:rPr>
          <w:sz w:val="22"/>
          <w:szCs w:val="22"/>
        </w:rPr>
        <w:t>Pravidelně vizuálně kontrolujte stav koloběžky. Nárazy do koloběžky mohou způsobit narušení materiálu. Jsou-li v nášlapné desce, krku koloběžky nebo tyči zřejmé stopy po ranách (</w:t>
      </w:r>
      <w:proofErr w:type="spellStart"/>
      <w:r w:rsidRPr="006C3AF5">
        <w:rPr>
          <w:sz w:val="22"/>
          <w:szCs w:val="22"/>
        </w:rPr>
        <w:t>protlačeniny</w:t>
      </w:r>
      <w:proofErr w:type="spellEnd"/>
      <w:r w:rsidRPr="006C3AF5">
        <w:rPr>
          <w:sz w:val="22"/>
          <w:szCs w:val="22"/>
        </w:rPr>
        <w:t xml:space="preserve">, odřeniny, hluboké škrábance), mohlo dojít k narušení materiálu a může hrozit zalomení. </w:t>
      </w:r>
    </w:p>
    <w:p w:rsidR="006F188D" w:rsidRDefault="006F188D" w:rsidP="00875941">
      <w:pPr>
        <w:tabs>
          <w:tab w:val="left" w:pos="720"/>
        </w:tabs>
        <w:spacing w:line="218" w:lineRule="auto"/>
        <w:ind w:right="80"/>
        <w:jc w:val="both"/>
        <w:rPr>
          <w:rFonts w:cs="Times New Roman"/>
          <w:sz w:val="22"/>
        </w:rPr>
      </w:pPr>
      <w:r w:rsidRPr="006C3AF5">
        <w:rPr>
          <w:rFonts w:cs="Times New Roman"/>
          <w:sz w:val="22"/>
        </w:rPr>
        <w:t>Kolečka</w:t>
      </w:r>
      <w:r w:rsidR="00FD5C10" w:rsidRPr="006C3AF5">
        <w:rPr>
          <w:rFonts w:cs="Times New Roman"/>
          <w:sz w:val="22"/>
        </w:rPr>
        <w:t xml:space="preserve">, </w:t>
      </w:r>
      <w:r w:rsidRPr="006C3AF5">
        <w:rPr>
          <w:rFonts w:cs="Times New Roman"/>
          <w:sz w:val="22"/>
        </w:rPr>
        <w:t>ložiska</w:t>
      </w:r>
      <w:r w:rsidR="00FD5C10" w:rsidRPr="006C3AF5">
        <w:rPr>
          <w:rFonts w:cs="Times New Roman"/>
          <w:sz w:val="22"/>
        </w:rPr>
        <w:t xml:space="preserve">, </w:t>
      </w:r>
      <w:proofErr w:type="spellStart"/>
      <w:r w:rsidR="00FD5C10" w:rsidRPr="006C3AF5">
        <w:rPr>
          <w:rFonts w:cs="Times New Roman"/>
          <w:sz w:val="22"/>
        </w:rPr>
        <w:t>gripy</w:t>
      </w:r>
      <w:proofErr w:type="spellEnd"/>
      <w:r w:rsidR="00FD5C10" w:rsidRPr="006C3AF5">
        <w:rPr>
          <w:rFonts w:cs="Times New Roman"/>
          <w:sz w:val="22"/>
        </w:rPr>
        <w:t xml:space="preserve"> i polep nášlapu </w:t>
      </w:r>
      <w:r w:rsidRPr="006C3AF5">
        <w:rPr>
          <w:rFonts w:cs="Times New Roman"/>
          <w:sz w:val="22"/>
        </w:rPr>
        <w:t>jsou běžně</w:t>
      </w:r>
      <w:r>
        <w:rPr>
          <w:rFonts w:cs="Times New Roman"/>
          <w:sz w:val="22"/>
        </w:rPr>
        <w:t xml:space="preserve"> dostupné náhradní díly, které je třeba měnit v návaznosti na jejich opotřebení.</w:t>
      </w:r>
    </w:p>
    <w:p w:rsidR="00875941" w:rsidRDefault="00875941" w:rsidP="00875941">
      <w:pPr>
        <w:pStyle w:val="Standard"/>
        <w:jc w:val="both"/>
        <w:rPr>
          <w:b/>
          <w:bCs/>
          <w:sz w:val="22"/>
          <w:szCs w:val="22"/>
        </w:rPr>
      </w:pPr>
    </w:p>
    <w:p w:rsidR="00875941" w:rsidRDefault="00875941">
      <w:pPr>
        <w:suppressAutoHyphens w:val="0"/>
        <w:rPr>
          <w:b/>
          <w:bCs/>
          <w:sz w:val="22"/>
          <w:szCs w:val="22"/>
        </w:rPr>
      </w:pPr>
      <w:r>
        <w:rPr>
          <w:b/>
          <w:bCs/>
          <w:sz w:val="22"/>
          <w:szCs w:val="22"/>
        </w:rPr>
        <w:br w:type="page"/>
      </w:r>
    </w:p>
    <w:p w:rsidR="00E44761" w:rsidRDefault="00B50118" w:rsidP="00875941">
      <w:pPr>
        <w:pStyle w:val="Standard"/>
        <w:jc w:val="both"/>
      </w:pPr>
      <w:r>
        <w:rPr>
          <w:b/>
          <w:bCs/>
          <w:sz w:val="22"/>
          <w:szCs w:val="22"/>
        </w:rPr>
        <w:lastRenderedPageBreak/>
        <w:t>MONTÁŽ</w:t>
      </w:r>
    </w:p>
    <w:p w:rsidR="00E44761" w:rsidRDefault="00B50118" w:rsidP="00875941">
      <w:pPr>
        <w:pStyle w:val="Standard"/>
        <w:jc w:val="both"/>
        <w:rPr>
          <w:sz w:val="22"/>
          <w:szCs w:val="22"/>
        </w:rPr>
      </w:pPr>
      <w:r>
        <w:rPr>
          <w:sz w:val="22"/>
          <w:szCs w:val="22"/>
        </w:rPr>
        <w:t>Obrázky níže jsou pouze ilustrační a nemusejí přesně odrážet přesný vzhled aktuálního produktu.</w:t>
      </w:r>
    </w:p>
    <w:p w:rsidR="00E44761" w:rsidRDefault="00B50118" w:rsidP="00875941">
      <w:pPr>
        <w:pStyle w:val="Standard"/>
        <w:jc w:val="both"/>
      </w:pPr>
      <w:r>
        <w:rPr>
          <w:bCs/>
          <w:sz w:val="22"/>
          <w:szCs w:val="22"/>
        </w:rPr>
        <w:t>Nasaďte</w:t>
      </w:r>
      <w:r>
        <w:rPr>
          <w:sz w:val="22"/>
          <w:szCs w:val="22"/>
        </w:rPr>
        <w:t xml:space="preserve"> upínací sponu zespodu na řídící tyč.</w:t>
      </w:r>
    </w:p>
    <w:p w:rsidR="00E44761" w:rsidRDefault="00B50118" w:rsidP="00875941">
      <w:pPr>
        <w:pStyle w:val="Standard"/>
        <w:jc w:val="both"/>
        <w:rPr>
          <w:sz w:val="22"/>
          <w:szCs w:val="22"/>
        </w:rPr>
      </w:pPr>
      <w:r>
        <w:rPr>
          <w:sz w:val="22"/>
          <w:szCs w:val="22"/>
        </w:rPr>
        <w:t>Nasaďte řídící tyč se sponou pevně na trubici vidlice – co nejníže je možné. Stáhněte sponu co nejvíce dolů.</w:t>
      </w:r>
    </w:p>
    <w:p w:rsidR="00E44761" w:rsidRDefault="00B50118" w:rsidP="00875941">
      <w:pPr>
        <w:pStyle w:val="Standard"/>
        <w:jc w:val="both"/>
        <w:rPr>
          <w:sz w:val="22"/>
          <w:szCs w:val="22"/>
        </w:rPr>
      </w:pPr>
      <w:r>
        <w:rPr>
          <w:sz w:val="22"/>
          <w:szCs w:val="22"/>
        </w:rPr>
        <w:t xml:space="preserve">Vyrovnejte řídící tyč </w:t>
      </w:r>
      <w:r w:rsidR="00A54518">
        <w:rPr>
          <w:sz w:val="22"/>
          <w:szCs w:val="22"/>
        </w:rPr>
        <w:t xml:space="preserve">kolmo na kolečko </w:t>
      </w:r>
      <w:r>
        <w:rPr>
          <w:sz w:val="22"/>
          <w:szCs w:val="22"/>
        </w:rPr>
        <w:t>a utáhněte šrouby imbusovým klíčem</w:t>
      </w:r>
      <w:r w:rsidR="00A54518">
        <w:rPr>
          <w:sz w:val="22"/>
          <w:szCs w:val="22"/>
        </w:rPr>
        <w:t xml:space="preserve"> (dotahování provádějte postupně)</w:t>
      </w:r>
      <w:r>
        <w:rPr>
          <w:sz w:val="22"/>
          <w:szCs w:val="22"/>
        </w:rPr>
        <w:t>. Začněte horním šroubem, utáhněte o čtvrtinu otočky, zopakujte u spodního šroubu, a poté i u středových šroubů. Opakujte tento postup pro úplné utažení všech šroubů, aby spona pevně držela řídící tyč na svém místě. Dbejte, abyste šroub nedotáhli příliš si</w:t>
      </w:r>
      <w:r w:rsidR="00A54518">
        <w:rPr>
          <w:sz w:val="22"/>
          <w:szCs w:val="22"/>
        </w:rPr>
        <w:t>lně. Mohlo by dojít k poškození spony.</w:t>
      </w:r>
    </w:p>
    <w:p w:rsidR="00875941" w:rsidRDefault="00875941" w:rsidP="00875941">
      <w:pPr>
        <w:pStyle w:val="Standard"/>
        <w:jc w:val="both"/>
        <w:rPr>
          <w:rFonts w:cs="Times New Roman"/>
          <w:b/>
          <w:sz w:val="22"/>
          <w:szCs w:val="22"/>
        </w:rPr>
      </w:pPr>
      <w:r>
        <w:rPr>
          <w:rFonts w:cs="Times New Roman"/>
          <w:b/>
          <w:noProof/>
          <w:sz w:val="22"/>
          <w:szCs w:val="22"/>
          <w:lang w:eastAsia="cs-CZ" w:bidi="ar-SA"/>
        </w:rPr>
        <w:drawing>
          <wp:anchor distT="0" distB="0" distL="0" distR="0" simplePos="0" relativeHeight="251664384" behindDoc="0" locked="0" layoutInCell="1" allowOverlap="1">
            <wp:simplePos x="0" y="0"/>
            <wp:positionH relativeFrom="column">
              <wp:posOffset>1379855</wp:posOffset>
            </wp:positionH>
            <wp:positionV relativeFrom="paragraph">
              <wp:posOffset>81280</wp:posOffset>
            </wp:positionV>
            <wp:extent cx="2123440" cy="3063875"/>
            <wp:effectExtent l="19050" t="0" r="0" b="0"/>
            <wp:wrapNone/>
            <wp:docPr id="1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123440" cy="3063875"/>
                    </a:xfrm>
                    <a:prstGeom prst="rect">
                      <a:avLst/>
                    </a:prstGeom>
                    <a:solidFill>
                      <a:srgbClr val="FFFFFF"/>
                    </a:solidFill>
                    <a:ln w="9525">
                      <a:noFill/>
                      <a:miter lim="800000"/>
                      <a:headEnd/>
                      <a:tailEnd/>
                    </a:ln>
                  </pic:spPr>
                </pic:pic>
              </a:graphicData>
            </a:graphic>
          </wp:anchor>
        </w:drawing>
      </w:r>
      <w:r>
        <w:rPr>
          <w:rFonts w:cs="Times New Roman"/>
          <w:b/>
          <w:noProof/>
          <w:sz w:val="22"/>
          <w:szCs w:val="22"/>
          <w:lang w:eastAsia="cs-CZ" w:bidi="ar-SA"/>
        </w:rPr>
        <w:drawing>
          <wp:anchor distT="0" distB="0" distL="0" distR="0" simplePos="0" relativeHeight="251660288" behindDoc="0" locked="0" layoutInCell="1" allowOverlap="1">
            <wp:simplePos x="0" y="0"/>
            <wp:positionH relativeFrom="column">
              <wp:posOffset>158750</wp:posOffset>
            </wp:positionH>
            <wp:positionV relativeFrom="paragraph">
              <wp:posOffset>46990</wp:posOffset>
            </wp:positionV>
            <wp:extent cx="963930" cy="3056890"/>
            <wp:effectExtent l="19050" t="0" r="7620" b="0"/>
            <wp:wrapNone/>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63930" cy="3056890"/>
                    </a:xfrm>
                    <a:prstGeom prst="rect">
                      <a:avLst/>
                    </a:prstGeom>
                    <a:solidFill>
                      <a:srgbClr val="FFFFFF"/>
                    </a:solidFill>
                    <a:ln w="9525">
                      <a:noFill/>
                      <a:miter lim="800000"/>
                      <a:headEnd/>
                      <a:tailEnd/>
                    </a:ln>
                  </pic:spPr>
                </pic:pic>
              </a:graphicData>
            </a:graphic>
          </wp:anchor>
        </w:drawing>
      </w:r>
      <w:r>
        <w:rPr>
          <w:rFonts w:cs="Times New Roman"/>
          <w:b/>
          <w:noProof/>
          <w:sz w:val="22"/>
          <w:szCs w:val="22"/>
          <w:lang w:eastAsia="cs-CZ" w:bidi="ar-SA"/>
        </w:rPr>
        <w:drawing>
          <wp:anchor distT="0" distB="0" distL="0" distR="0" simplePos="0" relativeHeight="251666432" behindDoc="0" locked="0" layoutInCell="1" allowOverlap="1">
            <wp:simplePos x="0" y="0"/>
            <wp:positionH relativeFrom="column">
              <wp:posOffset>3713480</wp:posOffset>
            </wp:positionH>
            <wp:positionV relativeFrom="paragraph">
              <wp:posOffset>81280</wp:posOffset>
            </wp:positionV>
            <wp:extent cx="2785110" cy="3145790"/>
            <wp:effectExtent l="19050" t="0" r="0" b="0"/>
            <wp:wrapNone/>
            <wp:docPr id="1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785110" cy="3145790"/>
                    </a:xfrm>
                    <a:prstGeom prst="rect">
                      <a:avLst/>
                    </a:prstGeom>
                    <a:solidFill>
                      <a:srgbClr val="FFFFFF"/>
                    </a:solidFill>
                    <a:ln w="9525">
                      <a:noFill/>
                      <a:miter lim="800000"/>
                      <a:headEnd/>
                      <a:tailEnd/>
                    </a:ln>
                  </pic:spPr>
                </pic:pic>
              </a:graphicData>
            </a:graphic>
          </wp:anchor>
        </w:drawing>
      </w:r>
    </w:p>
    <w:p w:rsidR="00875941" w:rsidRDefault="00875941" w:rsidP="00875941">
      <w:pPr>
        <w:pStyle w:val="Standard"/>
        <w:jc w:val="both"/>
        <w:rPr>
          <w:rFonts w:cs="Times New Roman"/>
          <w:b/>
          <w:sz w:val="22"/>
          <w:szCs w:val="22"/>
        </w:rPr>
      </w:pPr>
    </w:p>
    <w:p w:rsidR="00875941" w:rsidRDefault="00875941" w:rsidP="007269B2">
      <w:pPr>
        <w:widowControl/>
        <w:tabs>
          <w:tab w:val="left" w:pos="0"/>
          <w:tab w:val="left" w:pos="720"/>
        </w:tabs>
        <w:spacing w:line="218" w:lineRule="auto"/>
        <w:ind w:right="80"/>
        <w:jc w:val="both"/>
        <w:textAlignment w:val="auto"/>
        <w:rPr>
          <w:rFonts w:cs="Times New Roman"/>
          <w:sz w:val="22"/>
          <w:szCs w:val="22"/>
        </w:rPr>
      </w:pPr>
    </w:p>
    <w:p w:rsidR="00875941" w:rsidRDefault="00875941" w:rsidP="007269B2">
      <w:pPr>
        <w:widowControl/>
        <w:tabs>
          <w:tab w:val="left" w:pos="0"/>
          <w:tab w:val="left" w:pos="720"/>
        </w:tabs>
        <w:spacing w:line="218" w:lineRule="auto"/>
        <w:ind w:right="80"/>
        <w:jc w:val="both"/>
        <w:textAlignment w:val="auto"/>
        <w:rPr>
          <w:rFonts w:cs="Times New Roman"/>
          <w:sz w:val="22"/>
          <w:szCs w:val="22"/>
        </w:rPr>
      </w:pPr>
    </w:p>
    <w:p w:rsidR="00875941" w:rsidRDefault="00875941" w:rsidP="007269B2">
      <w:pPr>
        <w:widowControl/>
        <w:tabs>
          <w:tab w:val="left" w:pos="0"/>
          <w:tab w:val="left" w:pos="720"/>
        </w:tabs>
        <w:spacing w:line="218" w:lineRule="auto"/>
        <w:ind w:right="80"/>
        <w:jc w:val="both"/>
        <w:textAlignment w:val="auto"/>
        <w:rPr>
          <w:rFonts w:cs="Times New Roman"/>
          <w:sz w:val="22"/>
          <w:szCs w:val="22"/>
        </w:rPr>
      </w:pPr>
    </w:p>
    <w:p w:rsidR="00875941" w:rsidRDefault="00875941" w:rsidP="007269B2">
      <w:pPr>
        <w:widowControl/>
        <w:tabs>
          <w:tab w:val="left" w:pos="0"/>
          <w:tab w:val="left" w:pos="720"/>
        </w:tabs>
        <w:spacing w:line="218" w:lineRule="auto"/>
        <w:ind w:right="80"/>
        <w:jc w:val="both"/>
        <w:textAlignment w:val="auto"/>
        <w:rPr>
          <w:rFonts w:cs="Times New Roman"/>
          <w:sz w:val="22"/>
          <w:szCs w:val="22"/>
        </w:rPr>
      </w:pPr>
    </w:p>
    <w:p w:rsidR="00875941" w:rsidRPr="007269B2" w:rsidRDefault="00875941" w:rsidP="007269B2">
      <w:pPr>
        <w:widowControl/>
        <w:tabs>
          <w:tab w:val="left" w:pos="0"/>
          <w:tab w:val="left" w:pos="720"/>
        </w:tabs>
        <w:spacing w:line="218" w:lineRule="auto"/>
        <w:ind w:right="80"/>
        <w:jc w:val="both"/>
        <w:textAlignment w:val="auto"/>
        <w:rPr>
          <w:rFonts w:cs="Times New Roman"/>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7269B2" w:rsidRDefault="007269B2" w:rsidP="00875941">
      <w:pPr>
        <w:pStyle w:val="Standard"/>
        <w:jc w:val="both"/>
        <w:rPr>
          <w:rFonts w:cs="Times New Roman"/>
          <w:b/>
          <w:sz w:val="22"/>
          <w:szCs w:val="22"/>
        </w:rPr>
      </w:pPr>
    </w:p>
    <w:p w:rsidR="00875941" w:rsidRPr="00875941" w:rsidRDefault="00875941" w:rsidP="00875941">
      <w:pPr>
        <w:pStyle w:val="Standard"/>
        <w:jc w:val="both"/>
        <w:rPr>
          <w:sz w:val="22"/>
          <w:szCs w:val="22"/>
        </w:rPr>
      </w:pPr>
      <w:r>
        <w:rPr>
          <w:rFonts w:cs="Times New Roman"/>
          <w:b/>
          <w:sz w:val="22"/>
          <w:szCs w:val="22"/>
        </w:rPr>
        <w:t xml:space="preserve">ZÁRUKA </w:t>
      </w:r>
    </w:p>
    <w:p w:rsid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 xml:space="preserve">Záruka se nebude vztahovat na koloběžku, která je používána v rozporu s jejím určením, k příliš agresivní jízdě nebo je vystavena účinku vnějších sil. Koloběžka je navržena a vyrobena v souladu s platnými bezpečnostními normami. Mějte na paměti, že vystavování sportovního vybavení extrémním vnějším silám může vést k předčasnému opotřebení nebo zničení dílu. </w:t>
      </w:r>
    </w:p>
    <w:p w:rsid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Záruka se nevztahuje na poškození způsobená zaviněním uživatele, tj. nesprávným nebo nesoudným použitím výrobku, nesprávnou opravou nebo montáží, pozměněním tvaru nebo rozměru, nesprávným skladováním, montáží neoriginálních náhradních dílů, mechanickým poškozením výrobku a tím způsobenou nefunkčnost</w:t>
      </w:r>
      <w:r w:rsidR="000B1246">
        <w:rPr>
          <w:rFonts w:cs="Times New Roman"/>
          <w:sz w:val="22"/>
          <w:szCs w:val="22"/>
        </w:rPr>
        <w:t>.</w:t>
      </w:r>
    </w:p>
    <w:p w:rsid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 xml:space="preserve">Záruka se nevztahuje na prvky podléhající běžnému opotřebení jako např. ložiska, vymezovací kroužky, rukojeti – </w:t>
      </w:r>
      <w:proofErr w:type="spellStart"/>
      <w:r>
        <w:rPr>
          <w:rFonts w:cs="Times New Roman"/>
          <w:sz w:val="22"/>
          <w:szCs w:val="22"/>
        </w:rPr>
        <w:t>gripy</w:t>
      </w:r>
      <w:proofErr w:type="spellEnd"/>
      <w:r>
        <w:rPr>
          <w:rFonts w:cs="Times New Roman"/>
          <w:sz w:val="22"/>
          <w:szCs w:val="22"/>
        </w:rPr>
        <w:t xml:space="preserve">, nášlapný polep – </w:t>
      </w:r>
      <w:proofErr w:type="spellStart"/>
      <w:r>
        <w:rPr>
          <w:rFonts w:cs="Times New Roman"/>
          <w:sz w:val="22"/>
          <w:szCs w:val="22"/>
        </w:rPr>
        <w:t>griptape</w:t>
      </w:r>
      <w:proofErr w:type="spellEnd"/>
      <w:r>
        <w:rPr>
          <w:rFonts w:cs="Times New Roman"/>
          <w:sz w:val="22"/>
          <w:szCs w:val="22"/>
        </w:rPr>
        <w:t>.</w:t>
      </w:r>
    </w:p>
    <w:p w:rsid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Veškeré předělávky snižují bezpečnost použití a způsobují zánik záruky.</w:t>
      </w:r>
    </w:p>
    <w:p w:rsidR="00BC29FD" w:rsidRDefault="00BC29FD"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sidRPr="00BC29FD">
        <w:rPr>
          <w:rFonts w:cs="Times New Roman"/>
          <w:sz w:val="22"/>
          <w:szCs w:val="22"/>
        </w:rPr>
        <w:t>Záruka se vztahuje na praskliny a zlomeniny vzniklé výrobní vadou. Záruka se nevztahuje na poškození vzniklá v důsledku účinku vnějších sil, nesprávného nebo nadměrného použití (např. házení koloběžkou, „</w:t>
      </w:r>
      <w:proofErr w:type="spellStart"/>
      <w:r w:rsidRPr="00BC29FD">
        <w:rPr>
          <w:rFonts w:cs="Times New Roman"/>
          <w:sz w:val="22"/>
          <w:szCs w:val="22"/>
        </w:rPr>
        <w:t>grindování</w:t>
      </w:r>
      <w:proofErr w:type="spellEnd"/>
      <w:r w:rsidRPr="00BC29FD">
        <w:rPr>
          <w:rFonts w:cs="Times New Roman"/>
          <w:sz w:val="22"/>
          <w:szCs w:val="22"/>
        </w:rPr>
        <w:t>“ – brouše</w:t>
      </w:r>
      <w:r w:rsidR="004E0FA3">
        <w:rPr>
          <w:rFonts w:cs="Times New Roman"/>
          <w:sz w:val="22"/>
          <w:szCs w:val="22"/>
        </w:rPr>
        <w:t>ní po drsném povrchu, anodizace</w:t>
      </w:r>
      <w:r w:rsidRPr="00BC29FD">
        <w:rPr>
          <w:rFonts w:cs="Times New Roman"/>
          <w:sz w:val="22"/>
          <w:szCs w:val="22"/>
        </w:rPr>
        <w:t>).</w:t>
      </w:r>
    </w:p>
    <w:p w:rsid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Záruka na řídítka se nevztahuje na případy přetažení objímky, aniž byla tyč řízení řádně osazena na krk koloběžky. Pozor – hliníková řídítka jsou určena pouze pro pokročilé jezdce, kteří hledají nejlehčí řídítka. Na koloběžce s hliníkovými řídítky je třeba jezdit dovedně a plynule.</w:t>
      </w:r>
    </w:p>
    <w:p w:rsid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 xml:space="preserve">Záruka na vidlici s IHC systémem se nevztahuje na případy přetažení centrálního IHC šroubu – tento je třeba vždy dotahovat přiměřeně, tak ať zůstane vůle pro lehké otáčení řídítek v ložiscích krku koloběžky. </w:t>
      </w:r>
    </w:p>
    <w:p w:rsid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Záruka na objímku se nevztahuje na případy prasknutí objímky, která byla utahována, aniž byla řádně umístěna na tyči řízení a tyč řízení řádně osazena na krk koloběžky, nebo u které nebyly šrouby utahovány postupně.</w:t>
      </w:r>
    </w:p>
    <w:p w:rsid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Záruka na brzdu se nevztahuje na případy, kdy brzda byla nadměrně používána, nebo byla přetlačena směrem nahoru</w:t>
      </w:r>
      <w:r w:rsidR="0047111C">
        <w:rPr>
          <w:rFonts w:cs="Times New Roman"/>
          <w:sz w:val="22"/>
          <w:szCs w:val="22"/>
        </w:rPr>
        <w:t>.</w:t>
      </w:r>
    </w:p>
    <w:p w:rsidR="00E44761" w:rsidRPr="00875941" w:rsidRDefault="00875941" w:rsidP="00875941">
      <w:pPr>
        <w:widowControl/>
        <w:numPr>
          <w:ilvl w:val="0"/>
          <w:numId w:val="2"/>
        </w:numPr>
        <w:tabs>
          <w:tab w:val="left" w:pos="0"/>
          <w:tab w:val="left" w:pos="720"/>
        </w:tabs>
        <w:spacing w:line="218" w:lineRule="auto"/>
        <w:ind w:right="80"/>
        <w:jc w:val="both"/>
        <w:textAlignment w:val="auto"/>
        <w:rPr>
          <w:rFonts w:cs="Times New Roman"/>
          <w:sz w:val="22"/>
          <w:szCs w:val="22"/>
        </w:rPr>
      </w:pPr>
      <w:r>
        <w:rPr>
          <w:rFonts w:cs="Times New Roman"/>
          <w:sz w:val="22"/>
          <w:szCs w:val="22"/>
        </w:rPr>
        <w:t xml:space="preserve">Kolečka jsou prvky, které podléhají běžnému opotřebení. Pamatujte, že kolečka sportovní koloběžky jsou vystavena velkému tlaku i teplotám, proto je jejich životnost omezena. Záruka na kolečka se vztahuje na případy, kdy polyuretan sklouzl zcela z jádra </w:t>
      </w:r>
      <w:proofErr w:type="gramStart"/>
      <w:r>
        <w:rPr>
          <w:rFonts w:cs="Times New Roman"/>
          <w:sz w:val="22"/>
          <w:szCs w:val="22"/>
        </w:rPr>
        <w:t>kolečka a kolečka</w:t>
      </w:r>
      <w:proofErr w:type="gramEnd"/>
      <w:r>
        <w:rPr>
          <w:rFonts w:cs="Times New Roman"/>
          <w:sz w:val="22"/>
          <w:szCs w:val="22"/>
        </w:rPr>
        <w:t xml:space="preserve"> jsou opotřebena max z 30%. Záruka se nevztahuje na kolečka, kde polyuretan je naprasklý, vytržený, má plochá místa způsobená nadměrným brzděním, v důsledku nesprávného přistávání na okraji kolečka nebo jízdy na nevhodném ostrém povrchu nebo hranách. </w:t>
      </w:r>
    </w:p>
    <w:sectPr w:rsidR="00E44761" w:rsidRPr="00875941" w:rsidSect="00E44761">
      <w:pgSz w:w="11906" w:h="16838"/>
      <w:pgMar w:top="932" w:right="1134" w:bottom="98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79D" w:rsidRDefault="00A4179D" w:rsidP="00E44761">
      <w:r>
        <w:separator/>
      </w:r>
    </w:p>
  </w:endnote>
  <w:endnote w:type="continuationSeparator" w:id="0">
    <w:p w:rsidR="00A4179D" w:rsidRDefault="00A4179D" w:rsidP="00E44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79D" w:rsidRDefault="00A4179D" w:rsidP="00E44761">
      <w:r w:rsidRPr="00E44761">
        <w:rPr>
          <w:color w:val="000000"/>
        </w:rPr>
        <w:separator/>
      </w:r>
    </w:p>
  </w:footnote>
  <w:footnote w:type="continuationSeparator" w:id="0">
    <w:p w:rsidR="00A4179D" w:rsidRDefault="00A4179D" w:rsidP="00E44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18F7"/>
    <w:multiLevelType w:val="multilevel"/>
    <w:tmpl w:val="E174A0F0"/>
    <w:lvl w:ilvl="0">
      <w:numFmt w:val="bullet"/>
      <w:lvlText w:val="-"/>
      <w:lvlJc w:val="left"/>
      <w:rPr>
        <w:rFonts w:ascii="Times New Roman" w:hAnsi="Times New Roman"/>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67951ABD"/>
    <w:multiLevelType w:val="multilevel"/>
    <w:tmpl w:val="F49A7F2E"/>
    <w:lvl w:ilvl="0">
      <w:numFmt w:val="bullet"/>
      <w:lvlText w:val="-"/>
      <w:lvlJc w:val="left"/>
      <w:rPr>
        <w:rFonts w:ascii="Times New Roman" w:hAnsi="Times New Roman"/>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E44761"/>
    <w:rsid w:val="000B1246"/>
    <w:rsid w:val="000B3AC9"/>
    <w:rsid w:val="000E6CA8"/>
    <w:rsid w:val="00134FDA"/>
    <w:rsid w:val="00200113"/>
    <w:rsid w:val="002235B2"/>
    <w:rsid w:val="002478FE"/>
    <w:rsid w:val="0047111C"/>
    <w:rsid w:val="004970FA"/>
    <w:rsid w:val="004E0FA3"/>
    <w:rsid w:val="005B5F80"/>
    <w:rsid w:val="00647901"/>
    <w:rsid w:val="006C3AF5"/>
    <w:rsid w:val="006F188D"/>
    <w:rsid w:val="007269B2"/>
    <w:rsid w:val="00875941"/>
    <w:rsid w:val="00923B9E"/>
    <w:rsid w:val="009A25C9"/>
    <w:rsid w:val="00A147C0"/>
    <w:rsid w:val="00A4179D"/>
    <w:rsid w:val="00A54518"/>
    <w:rsid w:val="00AA2A61"/>
    <w:rsid w:val="00AD1F2A"/>
    <w:rsid w:val="00AD78F6"/>
    <w:rsid w:val="00B50118"/>
    <w:rsid w:val="00BC29FD"/>
    <w:rsid w:val="00BF57AB"/>
    <w:rsid w:val="00D11264"/>
    <w:rsid w:val="00E44761"/>
    <w:rsid w:val="00FD5C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44761"/>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44761"/>
    <w:pPr>
      <w:suppressAutoHyphens/>
    </w:pPr>
  </w:style>
  <w:style w:type="paragraph" w:customStyle="1" w:styleId="Heading">
    <w:name w:val="Heading"/>
    <w:basedOn w:val="Standard"/>
    <w:next w:val="Textbody"/>
    <w:rsid w:val="00E44761"/>
    <w:pPr>
      <w:keepNext/>
      <w:spacing w:before="240" w:after="120"/>
    </w:pPr>
    <w:rPr>
      <w:rFonts w:ascii="Arial" w:eastAsia="Microsoft YaHei" w:hAnsi="Arial"/>
      <w:sz w:val="28"/>
      <w:szCs w:val="28"/>
    </w:rPr>
  </w:style>
  <w:style w:type="paragraph" w:customStyle="1" w:styleId="Textbody">
    <w:name w:val="Text body"/>
    <w:basedOn w:val="Standard"/>
    <w:rsid w:val="00E44761"/>
    <w:pPr>
      <w:spacing w:after="120"/>
    </w:pPr>
  </w:style>
  <w:style w:type="paragraph" w:styleId="Seznam">
    <w:name w:val="List"/>
    <w:basedOn w:val="Textbody"/>
    <w:rsid w:val="00E44761"/>
  </w:style>
  <w:style w:type="paragraph" w:customStyle="1" w:styleId="Titulek1">
    <w:name w:val="Titulek1"/>
    <w:basedOn w:val="Standard"/>
    <w:rsid w:val="00E44761"/>
    <w:pPr>
      <w:suppressLineNumbers/>
      <w:spacing w:before="120" w:after="120"/>
    </w:pPr>
    <w:rPr>
      <w:i/>
      <w:iCs/>
    </w:rPr>
  </w:style>
  <w:style w:type="paragraph" w:customStyle="1" w:styleId="Index">
    <w:name w:val="Index"/>
    <w:basedOn w:val="Standard"/>
    <w:rsid w:val="00E44761"/>
    <w:pPr>
      <w:suppressLineNumbers/>
    </w:pPr>
  </w:style>
  <w:style w:type="paragraph" w:customStyle="1" w:styleId="Nadpis11">
    <w:name w:val="Nadpis 11"/>
    <w:basedOn w:val="Heading"/>
    <w:next w:val="Textbody"/>
    <w:rsid w:val="00E44761"/>
    <w:pPr>
      <w:outlineLvl w:val="0"/>
    </w:pPr>
    <w:rPr>
      <w:rFonts w:ascii="Times New Roman" w:eastAsia="SimSun" w:hAnsi="Times New Roman"/>
      <w:b/>
      <w:bCs/>
      <w:sz w:val="48"/>
      <w:szCs w:val="48"/>
    </w:rPr>
  </w:style>
  <w:style w:type="character" w:customStyle="1" w:styleId="NumberingSymbols">
    <w:name w:val="Numbering Symbols"/>
    <w:rsid w:val="00E44761"/>
  </w:style>
  <w:style w:type="paragraph" w:styleId="Textbubliny">
    <w:name w:val="Balloon Text"/>
    <w:basedOn w:val="Normln"/>
    <w:link w:val="TextbublinyChar"/>
    <w:uiPriority w:val="99"/>
    <w:semiHidden/>
    <w:unhideWhenUsed/>
    <w:rsid w:val="00647901"/>
    <w:rPr>
      <w:rFonts w:ascii="Tahoma" w:hAnsi="Tahoma" w:cs="Mangal"/>
      <w:sz w:val="16"/>
      <w:szCs w:val="14"/>
    </w:rPr>
  </w:style>
  <w:style w:type="character" w:customStyle="1" w:styleId="TextbublinyChar">
    <w:name w:val="Text bubliny Char"/>
    <w:basedOn w:val="Standardnpsmoodstavce"/>
    <w:link w:val="Textbubliny"/>
    <w:uiPriority w:val="99"/>
    <w:semiHidden/>
    <w:rsid w:val="00647901"/>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68828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1085</Words>
  <Characters>6407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 Anonym</dc:creator>
  <cp:lastModifiedBy>admin</cp:lastModifiedBy>
  <cp:revision>14</cp:revision>
  <cp:lastPrinted>2020-06-22T11:15:00Z</cp:lastPrinted>
  <dcterms:created xsi:type="dcterms:W3CDTF">2020-06-23T09:34:00Z</dcterms:created>
  <dcterms:modified xsi:type="dcterms:W3CDTF">2021-06-22T11:58:00Z</dcterms:modified>
</cp:coreProperties>
</file>